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0F68D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bookmarkStart w:id="1" w:name="_GoBack"/>
      <w:bookmarkEnd w:id="1"/>
    </w:p>
    <w:p w14:paraId="4807E64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一 云端管理平台</w:t>
      </w:r>
    </w:p>
    <w:p w14:paraId="64231D8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18"/>
          <w:szCs w:val="18"/>
          <w:highlight w:val="yellow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18"/>
          <w:szCs w:val="18"/>
          <w:highlight w:val="yellow"/>
          <w:lang w:val="en-US" w:eastAsia="zh-CN" w:bidi="ar"/>
        </w:rPr>
        <w:t>（录屏或截图链接：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18"/>
          <w:szCs w:val="18"/>
          <w:highlight w:val="yellow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b/>
          <w:bCs/>
          <w:color w:val="FF0000"/>
          <w:kern w:val="0"/>
          <w:sz w:val="18"/>
          <w:szCs w:val="18"/>
          <w:highlight w:val="yellow"/>
          <w:lang w:val="en-US" w:eastAsia="zh-CN" w:bidi="ar"/>
        </w:rPr>
        <w:instrText xml:space="preserve"> HYPERLINK "https://www.east-iems.com:18898/" </w:instrText>
      </w:r>
      <w:r>
        <w:rPr>
          <w:rFonts w:hint="eastAsia" w:ascii="宋体" w:hAnsi="宋体" w:eastAsia="宋体" w:cs="宋体"/>
          <w:b/>
          <w:bCs/>
          <w:color w:val="FF0000"/>
          <w:kern w:val="0"/>
          <w:sz w:val="18"/>
          <w:szCs w:val="18"/>
          <w:highlight w:val="yellow"/>
          <w:lang w:val="en-US" w:eastAsia="zh-CN" w:bidi="ar"/>
        </w:rPr>
        <w:fldChar w:fldCharType="separate"/>
      </w:r>
      <w:r>
        <w:rPr>
          <w:rStyle w:val="7"/>
          <w:rFonts w:hint="eastAsia" w:ascii="宋体" w:hAnsi="宋体" w:eastAsia="宋体" w:cs="宋体"/>
          <w:b/>
          <w:bCs/>
          <w:color w:val="FF0000"/>
          <w:kern w:val="0"/>
          <w:sz w:val="18"/>
          <w:szCs w:val="18"/>
          <w:highlight w:val="yellow"/>
          <w:lang w:val="en-US" w:eastAsia="zh-CN" w:bidi="ar"/>
        </w:rPr>
        <w:t>https://www.east-iems.com:18898/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18"/>
          <w:szCs w:val="18"/>
          <w:highlight w:val="yellow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b/>
          <w:bCs/>
          <w:color w:val="FF0000"/>
          <w:kern w:val="0"/>
          <w:sz w:val="18"/>
          <w:szCs w:val="18"/>
          <w:highlight w:val="yellow"/>
          <w:lang w:val="en-US" w:eastAsia="zh-CN" w:bidi="ar"/>
        </w:rPr>
        <w:t xml:space="preserve">  账号admin /admin123）</w:t>
      </w:r>
    </w:p>
    <w:p w14:paraId="69EFF82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</w:p>
    <w:p w14:paraId="56FB4E6C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云端管理平台</w:t>
      </w:r>
    </w:p>
    <w:p w14:paraId="5C14769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t>Cloud Management Platform</w:t>
      </w:r>
    </w:p>
    <w:p w14:paraId="37683B5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</w:p>
    <w:p w14:paraId="45B49AA2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易云智慧云平台</w:t>
      </w:r>
    </w:p>
    <w:p w14:paraId="0B99B119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  <w:t>易事特智慧能源集控云平台eDome Glaxy（简称易云智慧）旨在打造源网荷储多向协同，灵活互动的新型电力系统智慧能源管控平台，平台全面贯通“风光荷储充”全链路数据，实现新能源的统一纳管与智能协同，彻底打破数据孤岛，构建一体化能源管理新范式。</w:t>
      </w:r>
    </w:p>
    <w:p w14:paraId="2EC7D392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b w:val="0"/>
          <w:bCs w:val="0"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FF0000"/>
          <w:kern w:val="0"/>
          <w:sz w:val="24"/>
          <w:szCs w:val="24"/>
          <w:lang w:val="en-US" w:eastAsia="zh-CN" w:bidi="ar"/>
        </w:rPr>
        <w:t xml:space="preserve">eDome Glaxy </w:t>
      </w:r>
      <w:r>
        <w:rPr>
          <w:rFonts w:ascii="宋体" w:hAnsi="宋体" w:eastAsia="宋体" w:cs="宋体"/>
          <w:color w:val="FF0000"/>
          <w:sz w:val="24"/>
          <w:szCs w:val="24"/>
        </w:rPr>
        <w:t>Centralized Control Cloud Platform</w:t>
      </w:r>
    </w:p>
    <w:p w14:paraId="3F58F6F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2"/>
          <w:szCs w:val="22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2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 xml:space="preserve">eDome Glaxy </w:t>
      </w:r>
      <w:r>
        <w:rPr>
          <w:rFonts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Centralized Control Cloud Platform enables source-grid-load-storage synergy for new power systems. By unifying wind-solar-load-storage-charging data, it achieves centralized intelligent energy control, breaking data silos and building a new integrated energy management model.</w:t>
      </w:r>
    </w:p>
    <w:p w14:paraId="37403DC2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</w:pPr>
    </w:p>
    <w:p w14:paraId="70D34E1D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962910"/>
            <wp:effectExtent l="0" t="0" r="3810" b="8890"/>
            <wp:docPr id="1" name="图片 1" descr="Snipaste_2025-03-18_17-04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nipaste_2025-03-18_17-04-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AAC8A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平台特点：</w:t>
      </w:r>
    </w:p>
    <w:p w14:paraId="63CE5C4C"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统筹纳管</w:t>
      </w:r>
    </w:p>
    <w:p w14:paraId="68CC675D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</w:t>
      </w:r>
      <w:r>
        <w:rPr>
          <w:rFonts w:hint="default"/>
          <w:lang w:val="en-US" w:eastAsia="zh-CN"/>
        </w:rPr>
        <w:t>风光储充</w:t>
      </w:r>
      <w:r>
        <w:rPr>
          <w:rFonts w:hint="eastAsia"/>
          <w:lang w:val="en-US" w:eastAsia="zh-CN"/>
        </w:rPr>
        <w:t>等多能源产品接入，简化管理</w:t>
      </w:r>
    </w:p>
    <w:p w14:paraId="6B18137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配套智能网关，无需用户操作，一站式上云</w:t>
      </w:r>
    </w:p>
    <w:p w14:paraId="44B7C0D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丰富接口，便捷对接虚拟电厂、电力交易等系统，数据多平台共享</w:t>
      </w:r>
    </w:p>
    <w:p w14:paraId="249EEF00"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智慧运维</w:t>
      </w:r>
    </w:p>
    <w:p w14:paraId="16AE7839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智能诊断，快速故障根因分析专家系统</w:t>
      </w:r>
    </w:p>
    <w:p w14:paraId="3E521533">
      <w:pPr>
        <w:numPr>
          <w:ilvl w:val="0"/>
          <w:numId w:val="0"/>
        </w:numPr>
        <w:ind w:left="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安全预警，提前识别隐患，防患于未然</w:t>
      </w:r>
    </w:p>
    <w:p w14:paraId="733B46F7">
      <w:pPr>
        <w:numPr>
          <w:ilvl w:val="0"/>
          <w:numId w:val="0"/>
        </w:numPr>
        <w:ind w:left="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AI运维助手，专业能源知识库，快速高效解决问题</w:t>
      </w:r>
    </w:p>
    <w:p w14:paraId="348E3CD0"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AI赋能增效</w:t>
      </w:r>
    </w:p>
    <w:p w14:paraId="6A393537">
      <w:pPr>
        <w:numPr>
          <w:ilvl w:val="0"/>
          <w:numId w:val="0"/>
        </w:numPr>
        <w:ind w:left="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智能调度，算法智能制定调度策略</w:t>
      </w:r>
    </w:p>
    <w:p w14:paraId="399E6D06">
      <w:pPr>
        <w:numPr>
          <w:ilvl w:val="0"/>
          <w:numId w:val="0"/>
        </w:numPr>
        <w:ind w:left="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云边端协同优化，全局最优</w:t>
      </w:r>
    </w:p>
    <w:p w14:paraId="26964556">
      <w:pPr>
        <w:numPr>
          <w:ilvl w:val="0"/>
          <w:numId w:val="0"/>
        </w:numPr>
        <w:ind w:left="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多维对标、离群分析，AI能效优化</w:t>
      </w:r>
    </w:p>
    <w:p w14:paraId="46C90B0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DE942D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Platform Highlights</w:t>
      </w:r>
    </w:p>
    <w:p w14:paraId="37430777"/>
    <w:p w14:paraId="647A0C9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Unified Management</w:t>
      </w:r>
    </w:p>
    <w:p w14:paraId="53C7702E"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 w:hanging="360"/>
        <w:jc w:val="left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Integrates wind, PV, storage &amp; EV charging for simplified control</w:t>
      </w:r>
    </w:p>
    <w:p w14:paraId="4898E134"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 w:hanging="360"/>
        <w:jc w:val="left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One-stop cloud connection via intelligent gateways</w:t>
      </w:r>
    </w:p>
    <w:p w14:paraId="69ECBC97"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 w:hanging="360"/>
        <w:jc w:val="left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Open APIs for VPP, electricity trading &amp; cross-platform data sharing</w:t>
      </w:r>
    </w:p>
    <w:p w14:paraId="3360839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Intelligent O&amp;M</w:t>
      </w:r>
    </w:p>
    <w:p w14:paraId="1CF1D89F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 w:hanging="360"/>
        <w:jc w:val="left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AI-powered fault diagnosis &amp; root-cause analysis</w:t>
      </w:r>
    </w:p>
    <w:p w14:paraId="712F76F6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 w:hanging="360"/>
        <w:jc w:val="left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Proactive risk alerts for preventive maintenance</w:t>
      </w:r>
    </w:p>
    <w:p w14:paraId="4D3C3A40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 w:hanging="360"/>
        <w:jc w:val="left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AI assistant with energy knowledge base for fast troubleshooting</w:t>
      </w:r>
    </w:p>
    <w:p w14:paraId="1497487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AI-Driven Optimization</w:t>
      </w:r>
    </w:p>
    <w:p w14:paraId="36307DB8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 w:hanging="360"/>
        <w:jc w:val="left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Smart algorithmic dispatch strategies</w:t>
      </w:r>
    </w:p>
    <w:p w14:paraId="1396963A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 w:hanging="360"/>
        <w:jc w:val="left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Cloud-edge-end synergy for global optimum</w:t>
      </w:r>
    </w:p>
    <w:p w14:paraId="25238277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 w:hanging="360"/>
        <w:jc w:val="left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Multi-dimensional benchmarking &amp; AI-powered efficiency gains</w:t>
      </w:r>
    </w:p>
    <w:p w14:paraId="770748C7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885C10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0AA474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4DE1F8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47309E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技术指标</w:t>
      </w:r>
      <w:r>
        <w:rPr>
          <w:rFonts w:ascii="宋体" w:hAnsi="宋体" w:eastAsia="宋体" w:cs="宋体"/>
          <w:sz w:val="24"/>
          <w:szCs w:val="24"/>
        </w:rPr>
        <w:t>Technical Specifications</w:t>
      </w:r>
    </w:p>
    <w:p w14:paraId="5E52639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92CE09C">
      <w:pPr>
        <w:numPr>
          <w:ilvl w:val="0"/>
          <w:numId w:val="0"/>
        </w:numPr>
        <w:rPr>
          <w:rFonts w:hint="eastAsia"/>
          <w:lang w:val="en-US" w:eastAsia="zh-CN"/>
        </w:rPr>
      </w:pPr>
    </w:p>
    <w:tbl>
      <w:tblPr>
        <w:tblStyle w:val="5"/>
        <w:tblW w:w="82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3"/>
        <w:gridCol w:w="2482"/>
        <w:gridCol w:w="3981"/>
      </w:tblGrid>
      <w:tr w14:paraId="11AFB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763" w:type="dxa"/>
            <w:shd w:val="clear" w:color="auto" w:fill="D0CECE" w:themeFill="background2" w:themeFillShade="E6"/>
            <w:noWrap/>
            <w:vAlign w:val="center"/>
          </w:tcPr>
          <w:p w14:paraId="53BD29DE">
            <w:pPr>
              <w:widowControl/>
              <w:jc w:val="center"/>
              <w:rPr>
                <w:rFonts w:hint="eastAsia" w:ascii="微软雅黑" w:hAnsi="微软雅黑" w:eastAsia="微软雅黑" w:cs="宋体"/>
                <w:b/>
                <w:bCs/>
                <w:color w:val="000000"/>
                <w:sz w:val="16"/>
                <w:szCs w:val="16"/>
                <w:lang w:eastAsia="zh-CN"/>
              </w:rPr>
            </w:pPr>
            <w:bookmarkStart w:id="0" w:name="_Hlk205392250"/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sz w:val="16"/>
                <w:szCs w:val="16"/>
                <w:lang w:val="en-US" w:eastAsia="zh-CN"/>
              </w:rPr>
              <w:t>类别</w:t>
            </w:r>
          </w:p>
        </w:tc>
        <w:tc>
          <w:tcPr>
            <w:tcW w:w="2482" w:type="dxa"/>
            <w:shd w:val="clear" w:color="auto" w:fill="D0CECE" w:themeFill="background2" w:themeFillShade="E6"/>
            <w:noWrap/>
            <w:vAlign w:val="center"/>
          </w:tcPr>
          <w:p w14:paraId="1AFBFE2C">
            <w:pPr>
              <w:widowControl/>
              <w:jc w:val="center"/>
              <w:rPr>
                <w:rFonts w:hint="eastAsia" w:ascii="微软雅黑" w:hAnsi="微软雅黑" w:eastAsia="微软雅黑" w:cs="宋体"/>
                <w:b/>
                <w:bCs/>
                <w:color w:val="000000"/>
                <w:sz w:val="16"/>
                <w:szCs w:val="16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sz w:val="16"/>
                <w:szCs w:val="16"/>
                <w:lang w:val="en-US" w:eastAsia="zh-CN"/>
              </w:rPr>
              <w:t>指标</w:t>
            </w:r>
          </w:p>
        </w:tc>
        <w:tc>
          <w:tcPr>
            <w:tcW w:w="3981" w:type="dxa"/>
            <w:shd w:val="clear" w:color="auto" w:fill="D0CECE" w:themeFill="background2" w:themeFillShade="E6"/>
            <w:noWrap/>
            <w:vAlign w:val="center"/>
          </w:tcPr>
          <w:p w14:paraId="50528D43">
            <w:pPr>
              <w:widowControl/>
              <w:jc w:val="center"/>
              <w:rPr>
                <w:rFonts w:hint="default" w:ascii="微软雅黑" w:hAnsi="微软雅黑" w:eastAsia="微软雅黑" w:cs="宋体"/>
                <w:b/>
                <w:bCs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sz w:val="16"/>
                <w:szCs w:val="16"/>
                <w:lang w:val="en-US" w:eastAsia="zh-CN"/>
              </w:rPr>
              <w:t>规格参数</w:t>
            </w:r>
          </w:p>
        </w:tc>
      </w:tr>
      <w:tr w14:paraId="00F45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1763" w:type="dxa"/>
            <w:vMerge w:val="restart"/>
            <w:vAlign w:val="center"/>
          </w:tcPr>
          <w:p w14:paraId="72D46D5E">
            <w:pPr>
              <w:widowControl/>
              <w:jc w:val="center"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可靠性指标</w:t>
            </w:r>
          </w:p>
        </w:tc>
        <w:tc>
          <w:tcPr>
            <w:tcW w:w="2482" w:type="dxa"/>
            <w:shd w:val="clear" w:color="auto" w:fill="auto"/>
            <w:noWrap/>
            <w:vAlign w:val="center"/>
          </w:tcPr>
          <w:p w14:paraId="5A74A47C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系统可用性</w:t>
            </w:r>
          </w:p>
        </w:tc>
        <w:tc>
          <w:tcPr>
            <w:tcW w:w="3981" w:type="dxa"/>
            <w:shd w:val="clear" w:color="auto" w:fill="auto"/>
            <w:vAlign w:val="bottom"/>
          </w:tcPr>
          <w:p w14:paraId="47D71445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年可用率:&gt;99.9</w:t>
            </w:r>
            <w:r>
              <w:rPr>
                <w:rFonts w:ascii="微软雅黑" w:hAnsi="微软雅黑" w:eastAsia="微软雅黑" w:cs="宋体"/>
                <w:color w:val="000000"/>
                <w:sz w:val="16"/>
                <w:szCs w:val="16"/>
              </w:rPr>
              <w:t>9</w:t>
            </w: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%</w:t>
            </w:r>
          </w:p>
        </w:tc>
      </w:tr>
      <w:tr w14:paraId="11700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763" w:type="dxa"/>
            <w:vMerge w:val="continue"/>
            <w:vAlign w:val="center"/>
          </w:tcPr>
          <w:p w14:paraId="60AA2CA1">
            <w:pPr>
              <w:widowControl/>
              <w:jc w:val="center"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</w:p>
        </w:tc>
        <w:tc>
          <w:tcPr>
            <w:tcW w:w="2482" w:type="dxa"/>
            <w:shd w:val="clear" w:color="auto" w:fill="auto"/>
            <w:noWrap/>
            <w:vAlign w:val="center"/>
          </w:tcPr>
          <w:p w14:paraId="7B7F02E9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备份要求</w:t>
            </w:r>
          </w:p>
        </w:tc>
        <w:tc>
          <w:tcPr>
            <w:tcW w:w="3981" w:type="dxa"/>
            <w:shd w:val="clear" w:color="auto" w:fill="auto"/>
            <w:vAlign w:val="bottom"/>
          </w:tcPr>
          <w:p w14:paraId="529FB076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主要文件和数据库都有镜像备份</w:t>
            </w:r>
          </w:p>
        </w:tc>
      </w:tr>
      <w:tr w14:paraId="10F60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763" w:type="dxa"/>
            <w:vMerge w:val="restart"/>
            <w:vAlign w:val="center"/>
          </w:tcPr>
          <w:p w14:paraId="4D3E5FBE">
            <w:pPr>
              <w:widowControl/>
              <w:jc w:val="center"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使用环境指标</w:t>
            </w:r>
          </w:p>
        </w:tc>
        <w:tc>
          <w:tcPr>
            <w:tcW w:w="2482" w:type="dxa"/>
            <w:shd w:val="clear" w:color="auto" w:fill="auto"/>
            <w:noWrap/>
            <w:vAlign w:val="center"/>
          </w:tcPr>
          <w:p w14:paraId="6CEBDFE7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浏览器最低版本</w:t>
            </w:r>
          </w:p>
        </w:tc>
        <w:tc>
          <w:tcPr>
            <w:tcW w:w="3981" w:type="dxa"/>
            <w:shd w:val="clear" w:color="auto" w:fill="auto"/>
            <w:noWrap/>
            <w:vAlign w:val="bottom"/>
          </w:tcPr>
          <w:p w14:paraId="2FF97FA1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IE11、Chrome 65 、Firefox 60</w:t>
            </w:r>
          </w:p>
        </w:tc>
      </w:tr>
      <w:tr w14:paraId="748D0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763" w:type="dxa"/>
            <w:vMerge w:val="continue"/>
            <w:vAlign w:val="center"/>
          </w:tcPr>
          <w:p w14:paraId="437C4411">
            <w:pPr>
              <w:widowControl/>
              <w:jc w:val="center"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</w:p>
        </w:tc>
        <w:tc>
          <w:tcPr>
            <w:tcW w:w="2482" w:type="dxa"/>
            <w:shd w:val="clear" w:color="auto" w:fill="auto"/>
            <w:noWrap/>
            <w:vAlign w:val="center"/>
          </w:tcPr>
          <w:p w14:paraId="114C0F87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移动设备操作系统及最低版本</w:t>
            </w:r>
          </w:p>
        </w:tc>
        <w:tc>
          <w:tcPr>
            <w:tcW w:w="3981" w:type="dxa"/>
            <w:shd w:val="clear" w:color="auto" w:fill="auto"/>
            <w:noWrap/>
            <w:vAlign w:val="bottom"/>
          </w:tcPr>
          <w:p w14:paraId="2DFC6F3B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Andriod 5.0、鸿蒙3.0、i0S 13.0</w:t>
            </w:r>
          </w:p>
        </w:tc>
      </w:tr>
      <w:tr w14:paraId="3F526D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763" w:type="dxa"/>
            <w:vMerge w:val="continue"/>
            <w:vAlign w:val="center"/>
          </w:tcPr>
          <w:p w14:paraId="5EB663E1">
            <w:pPr>
              <w:widowControl/>
              <w:jc w:val="center"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</w:p>
        </w:tc>
        <w:tc>
          <w:tcPr>
            <w:tcW w:w="2482" w:type="dxa"/>
            <w:shd w:val="clear" w:color="auto" w:fill="auto"/>
            <w:noWrap/>
            <w:vAlign w:val="center"/>
          </w:tcPr>
          <w:p w14:paraId="16229CE3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语言</w:t>
            </w:r>
          </w:p>
        </w:tc>
        <w:tc>
          <w:tcPr>
            <w:tcW w:w="3981" w:type="dxa"/>
            <w:shd w:val="clear" w:color="auto" w:fill="auto"/>
            <w:noWrap/>
            <w:vAlign w:val="bottom"/>
          </w:tcPr>
          <w:p w14:paraId="48E96464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中文、英语</w:t>
            </w:r>
          </w:p>
        </w:tc>
      </w:tr>
      <w:tr w14:paraId="351C59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763" w:type="dxa"/>
            <w:vMerge w:val="continue"/>
            <w:vAlign w:val="center"/>
          </w:tcPr>
          <w:p w14:paraId="4479E9AA">
            <w:pPr>
              <w:widowControl/>
              <w:jc w:val="center"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</w:p>
        </w:tc>
        <w:tc>
          <w:tcPr>
            <w:tcW w:w="2482" w:type="dxa"/>
            <w:shd w:val="clear" w:color="auto" w:fill="auto"/>
            <w:noWrap/>
            <w:vAlign w:val="center"/>
          </w:tcPr>
          <w:p w14:paraId="1406088F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浏览器分辨率</w:t>
            </w:r>
          </w:p>
        </w:tc>
        <w:tc>
          <w:tcPr>
            <w:tcW w:w="3981" w:type="dxa"/>
            <w:shd w:val="clear" w:color="auto" w:fill="auto"/>
            <w:noWrap/>
            <w:vAlign w:val="bottom"/>
          </w:tcPr>
          <w:p w14:paraId="46831BB5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1366*768、1920*1080(推荐)</w:t>
            </w:r>
          </w:p>
        </w:tc>
      </w:tr>
      <w:tr w14:paraId="08DA90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763" w:type="dxa"/>
            <w:vMerge w:val="continue"/>
            <w:vAlign w:val="center"/>
          </w:tcPr>
          <w:p w14:paraId="578721B8">
            <w:pPr>
              <w:widowControl/>
              <w:jc w:val="center"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</w:p>
        </w:tc>
        <w:tc>
          <w:tcPr>
            <w:tcW w:w="2482" w:type="dxa"/>
            <w:shd w:val="clear" w:color="auto" w:fill="auto"/>
            <w:noWrap/>
            <w:vAlign w:val="center"/>
          </w:tcPr>
          <w:p w14:paraId="76258015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移动设备分辨率</w:t>
            </w:r>
          </w:p>
        </w:tc>
        <w:tc>
          <w:tcPr>
            <w:tcW w:w="3981" w:type="dxa"/>
            <w:shd w:val="clear" w:color="auto" w:fill="auto"/>
            <w:noWrap/>
            <w:vAlign w:val="bottom"/>
          </w:tcPr>
          <w:p w14:paraId="17AFA995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1920*1080，1280*720</w:t>
            </w:r>
          </w:p>
        </w:tc>
      </w:tr>
      <w:tr w14:paraId="6E5F3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763" w:type="dxa"/>
            <w:vMerge w:val="restart"/>
            <w:vAlign w:val="center"/>
          </w:tcPr>
          <w:p w14:paraId="7B5DEAAA">
            <w:pPr>
              <w:widowControl/>
              <w:jc w:val="center"/>
              <w:rPr>
                <w:rFonts w:hint="default" w:ascii="微软雅黑" w:hAnsi="微软雅黑" w:eastAsia="微软雅黑" w:cs="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  <w:lang w:val="en-US" w:eastAsia="zh-CN"/>
              </w:rPr>
              <w:t>接入参数</w:t>
            </w:r>
          </w:p>
        </w:tc>
        <w:tc>
          <w:tcPr>
            <w:tcW w:w="2482" w:type="dxa"/>
            <w:shd w:val="clear" w:color="auto" w:fill="auto"/>
            <w:noWrap/>
            <w:vAlign w:val="center"/>
          </w:tcPr>
          <w:p w14:paraId="66C940FE">
            <w:pPr>
              <w:widowControl/>
              <w:jc w:val="both"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  <w:lang w:val="en-US" w:eastAsia="zh-CN"/>
              </w:rPr>
              <w:t>接入设备</w:t>
            </w:r>
          </w:p>
        </w:tc>
        <w:tc>
          <w:tcPr>
            <w:tcW w:w="3981" w:type="dxa"/>
            <w:shd w:val="clear" w:color="auto" w:fill="auto"/>
            <w:noWrap/>
            <w:vAlign w:val="bottom"/>
          </w:tcPr>
          <w:p w14:paraId="2348ACCE">
            <w:pPr>
              <w:widowControl/>
              <w:rPr>
                <w:rFonts w:hint="default" w:ascii="微软雅黑" w:hAnsi="微软雅黑" w:eastAsia="微软雅黑" w:cs="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  <w:lang w:val="en-US" w:eastAsia="zh-CN"/>
              </w:rPr>
              <w:t>逆变器、通讯箱、风电变流器、储能一体柜、充电桩、电表、变压器、线路保护装置等</w:t>
            </w:r>
          </w:p>
        </w:tc>
      </w:tr>
      <w:tr w14:paraId="06AF5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763" w:type="dxa"/>
            <w:vMerge w:val="continue"/>
            <w:vAlign w:val="center"/>
          </w:tcPr>
          <w:p w14:paraId="0E49C540">
            <w:pPr>
              <w:widowControl/>
              <w:jc w:val="center"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</w:p>
        </w:tc>
        <w:tc>
          <w:tcPr>
            <w:tcW w:w="2482" w:type="dxa"/>
            <w:shd w:val="clear" w:color="auto" w:fill="auto"/>
            <w:noWrap/>
            <w:vAlign w:val="center"/>
          </w:tcPr>
          <w:p w14:paraId="3F20CFE3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最大接入容量</w:t>
            </w:r>
          </w:p>
        </w:tc>
        <w:tc>
          <w:tcPr>
            <w:tcW w:w="3981" w:type="dxa"/>
            <w:shd w:val="clear" w:color="auto" w:fill="auto"/>
            <w:noWrap/>
            <w:vAlign w:val="bottom"/>
          </w:tcPr>
          <w:p w14:paraId="68D414AC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超过100GW</w:t>
            </w:r>
          </w:p>
        </w:tc>
      </w:tr>
      <w:tr w14:paraId="5D9D12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1763" w:type="dxa"/>
            <w:vMerge w:val="restart"/>
            <w:vAlign w:val="center"/>
          </w:tcPr>
          <w:p w14:paraId="180DB911">
            <w:pPr>
              <w:widowControl/>
              <w:jc w:val="center"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采集参数</w:t>
            </w:r>
          </w:p>
        </w:tc>
        <w:tc>
          <w:tcPr>
            <w:tcW w:w="2482" w:type="dxa"/>
            <w:shd w:val="clear" w:color="auto" w:fill="auto"/>
            <w:noWrap/>
            <w:vAlign w:val="center"/>
          </w:tcPr>
          <w:p w14:paraId="61818343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采集支持设备</w:t>
            </w:r>
          </w:p>
        </w:tc>
        <w:tc>
          <w:tcPr>
            <w:tcW w:w="3981" w:type="dxa"/>
            <w:shd w:val="clear" w:color="auto" w:fill="auto"/>
            <w:vAlign w:val="bottom"/>
          </w:tcPr>
          <w:p w14:paraId="4095831F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  <w:lang w:val="en-US" w:eastAsia="zh-CN"/>
              </w:rPr>
              <w:t>智能网关</w:t>
            </w: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、</w:t>
            </w: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  <w:lang w:val="en-US" w:eastAsia="zh-CN"/>
              </w:rPr>
              <w:t>EMS</w:t>
            </w: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、</w:t>
            </w: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  <w:lang w:val="en-US" w:eastAsia="zh-CN"/>
              </w:rPr>
              <w:t>通讯箱、</w:t>
            </w: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4G通讯棒</w:t>
            </w:r>
          </w:p>
        </w:tc>
      </w:tr>
      <w:tr w14:paraId="19907C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1763" w:type="dxa"/>
            <w:vMerge w:val="continue"/>
            <w:vAlign w:val="center"/>
          </w:tcPr>
          <w:p w14:paraId="45D49AA4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</w:p>
        </w:tc>
        <w:tc>
          <w:tcPr>
            <w:tcW w:w="2482" w:type="dxa"/>
            <w:shd w:val="clear" w:color="auto" w:fill="auto"/>
            <w:noWrap/>
            <w:vAlign w:val="center"/>
          </w:tcPr>
          <w:p w14:paraId="4D4FE72E">
            <w:pPr>
              <w:widowControl/>
              <w:rPr>
                <w:rFonts w:hint="default" w:ascii="微软雅黑" w:hAnsi="微软雅黑" w:eastAsia="微软雅黑" w:cs="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  <w:lang w:val="en-US" w:eastAsia="zh-CN"/>
              </w:rPr>
              <w:t>采集间隔</w:t>
            </w:r>
          </w:p>
        </w:tc>
        <w:tc>
          <w:tcPr>
            <w:tcW w:w="3981" w:type="dxa"/>
            <w:shd w:val="clear" w:color="auto" w:fill="auto"/>
            <w:vAlign w:val="bottom"/>
          </w:tcPr>
          <w:p w14:paraId="0F9E0342">
            <w:pPr>
              <w:widowControl/>
              <w:rPr>
                <w:rFonts w:hint="default" w:ascii="微软雅黑" w:hAnsi="微软雅黑" w:eastAsia="微软雅黑" w:cs="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  <w:lang w:val="en-US" w:eastAsia="zh-CN"/>
              </w:rPr>
              <w:t>默认15s（可配置）</w:t>
            </w:r>
          </w:p>
        </w:tc>
      </w:tr>
      <w:tr w14:paraId="2ABD8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1763" w:type="dxa"/>
            <w:vMerge w:val="continue"/>
            <w:vAlign w:val="center"/>
          </w:tcPr>
          <w:p w14:paraId="0A468E5F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</w:p>
        </w:tc>
        <w:tc>
          <w:tcPr>
            <w:tcW w:w="2482" w:type="dxa"/>
            <w:shd w:val="clear" w:color="auto" w:fill="auto"/>
            <w:noWrap/>
            <w:vAlign w:val="center"/>
          </w:tcPr>
          <w:p w14:paraId="4FD07ABF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支持规约</w:t>
            </w:r>
          </w:p>
        </w:tc>
        <w:tc>
          <w:tcPr>
            <w:tcW w:w="3981" w:type="dxa"/>
            <w:shd w:val="clear" w:color="auto" w:fill="auto"/>
            <w:vAlign w:val="bottom"/>
          </w:tcPr>
          <w:p w14:paraId="0C01DFFC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自定义规约，MQTT</w:t>
            </w:r>
          </w:p>
        </w:tc>
      </w:tr>
      <w:tr w14:paraId="0858E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1763" w:type="dxa"/>
            <w:vMerge w:val="continue"/>
            <w:vAlign w:val="center"/>
          </w:tcPr>
          <w:p w14:paraId="46D89843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</w:p>
        </w:tc>
        <w:tc>
          <w:tcPr>
            <w:tcW w:w="2482" w:type="dxa"/>
            <w:shd w:val="clear" w:color="auto" w:fill="auto"/>
            <w:noWrap/>
            <w:vAlign w:val="center"/>
          </w:tcPr>
          <w:p w14:paraId="7E5616C8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数据传输方式</w:t>
            </w:r>
          </w:p>
        </w:tc>
        <w:tc>
          <w:tcPr>
            <w:tcW w:w="3981" w:type="dxa"/>
            <w:shd w:val="clear" w:color="auto" w:fill="auto"/>
            <w:vAlign w:val="bottom"/>
          </w:tcPr>
          <w:p w14:paraId="47B4EBB2">
            <w:pPr>
              <w:widowControl/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6"/>
                <w:szCs w:val="16"/>
              </w:rPr>
              <w:t>2G、3G、4G、WLAN、有线宽带</w:t>
            </w:r>
          </w:p>
        </w:tc>
      </w:tr>
      <w:bookmarkEnd w:id="0"/>
    </w:tbl>
    <w:p w14:paraId="68BAD210"/>
    <w:p w14:paraId="1D7C81EF">
      <w:pPr>
        <w:numPr>
          <w:ilvl w:val="0"/>
          <w:numId w:val="0"/>
        </w:numPr>
        <w:rPr>
          <w:rFonts w:hint="eastAsia"/>
          <w:lang w:val="en-US" w:eastAsia="zh-CN"/>
        </w:rPr>
      </w:pPr>
    </w:p>
    <w:tbl>
      <w:tblPr>
        <w:tblStyle w:val="5"/>
        <w:tblpPr w:leftFromText="180" w:rightFromText="180" w:vertAnchor="text" w:tblpXSpec="left" w:tblpY="45"/>
        <w:tblOverlap w:val="never"/>
        <w:tblW w:w="82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1"/>
        <w:gridCol w:w="2730"/>
        <w:gridCol w:w="3987"/>
      </w:tblGrid>
      <w:tr w14:paraId="14CA5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1521" w:type="dxa"/>
            <w:shd w:val="clear" w:color="auto" w:fill="D0CECE" w:themeFill="background2" w:themeFillShade="E6"/>
            <w:noWrap/>
            <w:vAlign w:val="center"/>
          </w:tcPr>
          <w:p w14:paraId="3E6B7812">
            <w:pPr>
              <w:widowControl/>
              <w:jc w:val="center"/>
              <w:rPr>
                <w:rFonts w:hint="eastAsia" w:ascii="等线 Light" w:hAnsi="等线 Light" w:eastAsia="等线 Light" w:cs="等线 Light"/>
                <w:b/>
                <w:bCs/>
                <w:color w:val="000000"/>
                <w:sz w:val="10"/>
                <w:szCs w:val="10"/>
                <w:lang w:eastAsia="zh-CN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Category</w:t>
            </w:r>
          </w:p>
        </w:tc>
        <w:tc>
          <w:tcPr>
            <w:tcW w:w="2730" w:type="dxa"/>
            <w:shd w:val="clear" w:color="auto" w:fill="D0CECE" w:themeFill="background2" w:themeFillShade="E6"/>
            <w:noWrap/>
            <w:vAlign w:val="center"/>
          </w:tcPr>
          <w:p w14:paraId="19B794B6">
            <w:pPr>
              <w:widowControl/>
              <w:jc w:val="center"/>
              <w:rPr>
                <w:rFonts w:hint="eastAsia" w:ascii="等线 Light" w:hAnsi="等线 Light" w:eastAsia="等线 Light" w:cs="等线 Light"/>
                <w:b/>
                <w:bCs/>
                <w:color w:val="000000"/>
                <w:sz w:val="10"/>
                <w:szCs w:val="10"/>
                <w:lang w:eastAsia="zh-CN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Indicator</w:t>
            </w:r>
          </w:p>
        </w:tc>
        <w:tc>
          <w:tcPr>
            <w:tcW w:w="3987" w:type="dxa"/>
            <w:shd w:val="clear" w:color="auto" w:fill="D0CECE" w:themeFill="background2" w:themeFillShade="E6"/>
            <w:noWrap/>
            <w:vAlign w:val="center"/>
          </w:tcPr>
          <w:p w14:paraId="76BCAC25">
            <w:pPr>
              <w:widowControl/>
              <w:jc w:val="center"/>
              <w:rPr>
                <w:rFonts w:hint="eastAsia" w:ascii="等线 Light" w:hAnsi="等线 Light" w:eastAsia="等线 Light" w:cs="等线 Light"/>
                <w:b/>
                <w:bCs/>
                <w:color w:val="000000"/>
                <w:sz w:val="10"/>
                <w:szCs w:val="10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Specifications</w:t>
            </w:r>
          </w:p>
        </w:tc>
      </w:tr>
      <w:tr w14:paraId="1DF38A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1521" w:type="dxa"/>
            <w:vMerge w:val="restart"/>
            <w:vAlign w:val="center"/>
          </w:tcPr>
          <w:p w14:paraId="07F7FD82">
            <w:pPr>
              <w:widowControl/>
              <w:jc w:val="center"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Reliability Indicators</w:t>
            </w:r>
          </w:p>
        </w:tc>
        <w:tc>
          <w:tcPr>
            <w:tcW w:w="2730" w:type="dxa"/>
            <w:shd w:val="clear" w:color="auto" w:fill="auto"/>
            <w:noWrap/>
            <w:vAlign w:val="center"/>
          </w:tcPr>
          <w:p w14:paraId="4D97A1E4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System Availability</w:t>
            </w:r>
          </w:p>
        </w:tc>
        <w:tc>
          <w:tcPr>
            <w:tcW w:w="3987" w:type="dxa"/>
            <w:shd w:val="clear" w:color="auto" w:fill="auto"/>
            <w:vAlign w:val="bottom"/>
          </w:tcPr>
          <w:p w14:paraId="44FAD904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Annual availability: ＞99.99%</w:t>
            </w:r>
          </w:p>
        </w:tc>
      </w:tr>
      <w:tr w14:paraId="2C482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1521" w:type="dxa"/>
            <w:vMerge w:val="continue"/>
            <w:vAlign w:val="center"/>
          </w:tcPr>
          <w:p w14:paraId="5C469B59">
            <w:pPr>
              <w:widowControl/>
              <w:jc w:val="center"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</w:tcPr>
          <w:p w14:paraId="2434CBF8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Backup Requirements</w:t>
            </w:r>
          </w:p>
        </w:tc>
        <w:tc>
          <w:tcPr>
            <w:tcW w:w="3987" w:type="dxa"/>
            <w:shd w:val="clear" w:color="auto" w:fill="auto"/>
            <w:vAlign w:val="bottom"/>
          </w:tcPr>
          <w:p w14:paraId="4A5133F3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All core files and databases are mirrored</w:t>
            </w:r>
          </w:p>
        </w:tc>
      </w:tr>
      <w:tr w14:paraId="18333D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1521" w:type="dxa"/>
            <w:vMerge w:val="restart"/>
            <w:vAlign w:val="center"/>
          </w:tcPr>
          <w:p w14:paraId="6A5AC618">
            <w:pPr>
              <w:widowControl/>
              <w:jc w:val="center"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Operating Environment</w:t>
            </w:r>
          </w:p>
        </w:tc>
        <w:tc>
          <w:tcPr>
            <w:tcW w:w="2730" w:type="dxa"/>
            <w:shd w:val="clear" w:color="auto" w:fill="auto"/>
            <w:noWrap/>
            <w:vAlign w:val="center"/>
          </w:tcPr>
          <w:p w14:paraId="77ED16C8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Min</w:t>
            </w:r>
            <w:r>
              <w:rPr>
                <w:rFonts w:hint="eastAsia" w:ascii="等线 Light" w:hAnsi="等线 Light" w:eastAsia="等线 Light" w:cs="等线 Light"/>
                <w:sz w:val="18"/>
                <w:szCs w:val="18"/>
                <w:lang w:val="en-US" w:eastAsia="zh-CN"/>
              </w:rPr>
              <w:t xml:space="preserve">. </w:t>
            </w: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Browser Version</w:t>
            </w:r>
          </w:p>
        </w:tc>
        <w:tc>
          <w:tcPr>
            <w:tcW w:w="3987" w:type="dxa"/>
            <w:shd w:val="clear" w:color="auto" w:fill="auto"/>
            <w:noWrap/>
            <w:vAlign w:val="bottom"/>
          </w:tcPr>
          <w:p w14:paraId="17346423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  <w:t>IE11、Chrome 65 、Firefox 60</w:t>
            </w:r>
          </w:p>
        </w:tc>
      </w:tr>
      <w:tr w14:paraId="5CCF67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1521" w:type="dxa"/>
            <w:vMerge w:val="continue"/>
            <w:vAlign w:val="center"/>
          </w:tcPr>
          <w:p w14:paraId="756A8217">
            <w:pPr>
              <w:widowControl/>
              <w:jc w:val="center"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</w:tcPr>
          <w:p w14:paraId="24BFE9CD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Mobile OS &amp; Minimum Version</w:t>
            </w:r>
          </w:p>
        </w:tc>
        <w:tc>
          <w:tcPr>
            <w:tcW w:w="3987" w:type="dxa"/>
            <w:shd w:val="clear" w:color="auto" w:fill="auto"/>
            <w:noWrap/>
            <w:vAlign w:val="bottom"/>
          </w:tcPr>
          <w:p w14:paraId="39CB3CF3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Android 5.0, HarmonyOS 3.0, iOS 13.0</w:t>
            </w:r>
          </w:p>
        </w:tc>
      </w:tr>
      <w:tr w14:paraId="3611DD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1521" w:type="dxa"/>
            <w:vMerge w:val="continue"/>
            <w:vAlign w:val="center"/>
          </w:tcPr>
          <w:p w14:paraId="4DF2EABC">
            <w:pPr>
              <w:widowControl/>
              <w:jc w:val="center"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</w:tcPr>
          <w:p w14:paraId="7CA750B1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Language Support</w:t>
            </w:r>
          </w:p>
        </w:tc>
        <w:tc>
          <w:tcPr>
            <w:tcW w:w="3987" w:type="dxa"/>
            <w:shd w:val="clear" w:color="auto" w:fill="auto"/>
            <w:noWrap/>
            <w:vAlign w:val="bottom"/>
          </w:tcPr>
          <w:p w14:paraId="63B92F79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Chinese, English</w:t>
            </w:r>
          </w:p>
        </w:tc>
      </w:tr>
      <w:tr w14:paraId="44F4F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521" w:type="dxa"/>
            <w:vMerge w:val="continue"/>
            <w:vAlign w:val="center"/>
          </w:tcPr>
          <w:p w14:paraId="77E69B3A">
            <w:pPr>
              <w:widowControl/>
              <w:jc w:val="center"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</w:tcPr>
          <w:p w14:paraId="34A224CE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Recommended Browser Resolution</w:t>
            </w:r>
          </w:p>
        </w:tc>
        <w:tc>
          <w:tcPr>
            <w:tcW w:w="3987" w:type="dxa"/>
            <w:shd w:val="clear" w:color="auto" w:fill="auto"/>
            <w:noWrap/>
            <w:vAlign w:val="bottom"/>
          </w:tcPr>
          <w:p w14:paraId="398495BF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1366×768, 1920×1080</w:t>
            </w:r>
          </w:p>
        </w:tc>
      </w:tr>
      <w:tr w14:paraId="4060B5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1521" w:type="dxa"/>
            <w:vMerge w:val="continue"/>
            <w:vAlign w:val="center"/>
          </w:tcPr>
          <w:p w14:paraId="6CA31F40">
            <w:pPr>
              <w:widowControl/>
              <w:jc w:val="center"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</w:tcPr>
          <w:p w14:paraId="7459E852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Mobile Device Resolution</w:t>
            </w:r>
          </w:p>
        </w:tc>
        <w:tc>
          <w:tcPr>
            <w:tcW w:w="3987" w:type="dxa"/>
            <w:shd w:val="clear" w:color="auto" w:fill="auto"/>
            <w:noWrap/>
            <w:vAlign w:val="bottom"/>
          </w:tcPr>
          <w:p w14:paraId="0F17AB29">
            <w:pPr>
              <w:widowControl/>
              <w:rPr>
                <w:rFonts w:hint="eastAsia" w:ascii="等线 Light" w:hAnsi="等线 Light" w:eastAsia="等线 Light" w:cs="等线 Light"/>
                <w:sz w:val="18"/>
                <w:szCs w:val="18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1920*1080，1280*720</w:t>
            </w:r>
          </w:p>
        </w:tc>
      </w:tr>
      <w:tr w14:paraId="7FD75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</w:trPr>
        <w:tc>
          <w:tcPr>
            <w:tcW w:w="1521" w:type="dxa"/>
            <w:vMerge w:val="restart"/>
            <w:vAlign w:val="center"/>
          </w:tcPr>
          <w:p w14:paraId="0DEE72FD">
            <w:pPr>
              <w:widowControl/>
              <w:jc w:val="center"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Access Parameters</w:t>
            </w:r>
          </w:p>
        </w:tc>
        <w:tc>
          <w:tcPr>
            <w:tcW w:w="2730" w:type="dxa"/>
            <w:shd w:val="clear" w:color="auto" w:fill="auto"/>
            <w:noWrap/>
            <w:vAlign w:val="center"/>
          </w:tcPr>
          <w:p w14:paraId="4397160E">
            <w:pPr>
              <w:widowControl/>
              <w:jc w:val="both"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Access Devices</w:t>
            </w:r>
          </w:p>
        </w:tc>
        <w:tc>
          <w:tcPr>
            <w:tcW w:w="3987" w:type="dxa"/>
            <w:shd w:val="clear" w:color="auto" w:fill="auto"/>
            <w:noWrap/>
            <w:vAlign w:val="bottom"/>
          </w:tcPr>
          <w:p w14:paraId="7B912822">
            <w:pPr>
              <w:widowControl/>
              <w:rPr>
                <w:rFonts w:hint="eastAsia" w:ascii="等线 Light" w:hAnsi="等线 Light" w:eastAsia="等线 Light" w:cs="等线 Light"/>
                <w:sz w:val="18"/>
                <w:szCs w:val="18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Inverters, communication terminals, grid power meters, energy storage cabinets, charging piles, electricity meters, line protection devices, etc.</w:t>
            </w:r>
          </w:p>
        </w:tc>
      </w:tr>
      <w:tr w14:paraId="2E3B8E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1521" w:type="dxa"/>
            <w:vMerge w:val="continue"/>
            <w:vAlign w:val="center"/>
          </w:tcPr>
          <w:p w14:paraId="4807BFBF">
            <w:pPr>
              <w:widowControl/>
              <w:jc w:val="center"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</w:tcPr>
          <w:p w14:paraId="2F83FDA0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Max</w:t>
            </w:r>
            <w:r>
              <w:rPr>
                <w:rFonts w:hint="eastAsia" w:ascii="等线 Light" w:hAnsi="等线 Light" w:eastAsia="等线 Light" w:cs="等线 Light"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 xml:space="preserve"> Access Capacity</w:t>
            </w:r>
          </w:p>
        </w:tc>
        <w:tc>
          <w:tcPr>
            <w:tcW w:w="3987" w:type="dxa"/>
            <w:shd w:val="clear" w:color="auto" w:fill="auto"/>
            <w:noWrap/>
            <w:vAlign w:val="bottom"/>
          </w:tcPr>
          <w:p w14:paraId="26409B16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Over 100GW</w:t>
            </w:r>
          </w:p>
        </w:tc>
      </w:tr>
      <w:tr w14:paraId="67977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521" w:type="dxa"/>
            <w:vMerge w:val="restart"/>
            <w:vAlign w:val="center"/>
          </w:tcPr>
          <w:p w14:paraId="3928A442">
            <w:pPr>
              <w:widowControl/>
              <w:jc w:val="center"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Data Acquisition Parameters</w:t>
            </w:r>
          </w:p>
        </w:tc>
        <w:tc>
          <w:tcPr>
            <w:tcW w:w="2730" w:type="dxa"/>
            <w:shd w:val="clear" w:color="auto" w:fill="auto"/>
            <w:noWrap/>
            <w:vAlign w:val="center"/>
          </w:tcPr>
          <w:p w14:paraId="60F761CC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Acquisition Supported Devices</w:t>
            </w:r>
          </w:p>
        </w:tc>
        <w:tc>
          <w:tcPr>
            <w:tcW w:w="3987" w:type="dxa"/>
            <w:shd w:val="clear" w:color="auto" w:fill="auto"/>
            <w:vAlign w:val="bottom"/>
          </w:tcPr>
          <w:p w14:paraId="2ADB831F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Smart gateways, EMS, communication cabinets, 4G communication modules</w:t>
            </w:r>
          </w:p>
        </w:tc>
      </w:tr>
      <w:tr w14:paraId="39AAC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1521" w:type="dxa"/>
            <w:vMerge w:val="continue"/>
            <w:vAlign w:val="center"/>
          </w:tcPr>
          <w:p w14:paraId="25FD8FF9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</w:tcPr>
          <w:p w14:paraId="65FFE5BD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Default Acquisition Interval</w:t>
            </w:r>
          </w:p>
        </w:tc>
        <w:tc>
          <w:tcPr>
            <w:tcW w:w="3987" w:type="dxa"/>
            <w:shd w:val="clear" w:color="auto" w:fill="auto"/>
            <w:vAlign w:val="bottom"/>
          </w:tcPr>
          <w:p w14:paraId="49257B11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15s (configurable)</w:t>
            </w:r>
          </w:p>
        </w:tc>
      </w:tr>
      <w:tr w14:paraId="22526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521" w:type="dxa"/>
            <w:vMerge w:val="continue"/>
            <w:vAlign w:val="center"/>
          </w:tcPr>
          <w:p w14:paraId="17C6A97F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</w:tcPr>
          <w:p w14:paraId="50D73718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Supported</w:t>
            </w:r>
            <w:r>
              <w:rPr>
                <w:rFonts w:hint="eastAsia" w:ascii="等线 Light" w:hAnsi="等线 Light" w:eastAsia="等线 Light" w:cs="等线 Light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Communication Protocols</w:t>
            </w:r>
          </w:p>
        </w:tc>
        <w:tc>
          <w:tcPr>
            <w:tcW w:w="3987" w:type="dxa"/>
            <w:shd w:val="clear" w:color="auto" w:fill="auto"/>
            <w:vAlign w:val="bottom"/>
          </w:tcPr>
          <w:p w14:paraId="6EBC0A86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Custom protocol, MQTT</w:t>
            </w:r>
          </w:p>
        </w:tc>
      </w:tr>
      <w:tr w14:paraId="69DCE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1521" w:type="dxa"/>
            <w:vMerge w:val="continue"/>
            <w:vAlign w:val="center"/>
          </w:tcPr>
          <w:p w14:paraId="27F2DFA3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</w:tcPr>
          <w:p w14:paraId="5637D96D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Data Transmission Modes</w:t>
            </w:r>
          </w:p>
        </w:tc>
        <w:tc>
          <w:tcPr>
            <w:tcW w:w="3987" w:type="dxa"/>
            <w:shd w:val="clear" w:color="auto" w:fill="auto"/>
            <w:vAlign w:val="bottom"/>
          </w:tcPr>
          <w:p w14:paraId="17B596B4">
            <w:pPr>
              <w:widowControl/>
              <w:rPr>
                <w:rFonts w:hint="eastAsia" w:ascii="等线 Light" w:hAnsi="等线 Light" w:eastAsia="等线 Light" w:cs="等线 Light"/>
                <w:color w:val="000000"/>
                <w:sz w:val="10"/>
                <w:szCs w:val="10"/>
              </w:rPr>
            </w:pPr>
            <w:r>
              <w:rPr>
                <w:rFonts w:hint="eastAsia" w:ascii="等线 Light" w:hAnsi="等线 Light" w:eastAsia="等线 Light" w:cs="等线 Light"/>
                <w:sz w:val="18"/>
                <w:szCs w:val="18"/>
              </w:rPr>
              <w:t>2G, 3G, 4G, WLAN, Wired Broadband</w:t>
            </w:r>
          </w:p>
        </w:tc>
      </w:tr>
    </w:tbl>
    <w:p w14:paraId="3D5825F8">
      <w:pPr>
        <w:rPr>
          <w:rFonts w:hint="eastAsia" w:ascii="等线 Light" w:hAnsi="等线 Light" w:eastAsia="等线 Light" w:cs="等线 Light"/>
          <w:sz w:val="15"/>
          <w:szCs w:val="1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AAD2E4"/>
    <w:multiLevelType w:val="multilevel"/>
    <w:tmpl w:val="C2AAD2E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C66BC069"/>
    <w:multiLevelType w:val="multilevel"/>
    <w:tmpl w:val="C66BC06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">
    <w:nsid w:val="D2286989"/>
    <w:multiLevelType w:val="multilevel"/>
    <w:tmpl w:val="D228698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">
    <w:nsid w:val="17FD7050"/>
    <w:multiLevelType w:val="singleLevel"/>
    <w:tmpl w:val="17FD705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9319F5"/>
    <w:rsid w:val="1D63708A"/>
    <w:rsid w:val="3AA9203F"/>
    <w:rsid w:val="4B4C4394"/>
    <w:rsid w:val="549319F5"/>
    <w:rsid w:val="6BE6667D"/>
    <w:rsid w:val="6D937305"/>
    <w:rsid w:val="711B45F3"/>
    <w:rsid w:val="7235504C"/>
    <w:rsid w:val="7972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qFormat/>
    <w:uiPriority w:val="0"/>
    <w:pPr>
      <w:spacing w:before="152" w:after="160"/>
      <w:ind w:firstLine="127" w:firstLineChars="127"/>
    </w:pPr>
    <w:rPr>
      <w:rFonts w:ascii="Arial" w:hAnsi="Arial" w:eastAsia="黑体" w:cs="Arial"/>
      <w:sz w:val="20"/>
      <w:szCs w:val="20"/>
    </w:r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804</Words>
  <Characters>2369</Characters>
  <Lines>0</Lines>
  <Paragraphs>0</Paragraphs>
  <TotalTime>26</TotalTime>
  <ScaleCrop>false</ScaleCrop>
  <LinksUpToDate>false</LinksUpToDate>
  <CharactersWithSpaces>2556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2026-02-04T06:35:00Z</dcterms:created>
  <dc:creator>时丕丽</dc:creator>
  <cp:lastModifiedBy>王攀</cp:lastModifiedBy>
  <dcterms:modified xsi:type="dcterms:W3CDTF">2026-02-06T03:09:03Z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73D7A573062E4EDDB85AA2D718D5D929_11</vt:lpwstr>
  </property>
  <property fmtid="{D5CDD505-2E9C-101B-9397-08002B2CF9AE}" pid="4" name="KSOTemplateDocerSaveRecord">
    <vt:lpwstr>eyJoZGlkIjoiNmE3ZWRiNmZlMWNlZjI1Nzc0MTQzODliMWYwMWYyYjEiLCJ1c2VySWQiOiIzNjA0Nzk5NzIifQ==</vt:lpwstr>
  </property>
</Properties>
</file>